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eastAsia="zh-CN"/>
        </w:rPr>
        <w:t>重庆</w:t>
      </w:r>
      <w:r>
        <w:rPr>
          <w:rFonts w:hint="eastAsia" w:asciiTheme="majorEastAsia" w:hAnsiTheme="majorEastAsia" w:eastAsiaTheme="majorEastAsia" w:cstheme="majorEastAsia"/>
          <w:b/>
          <w:bCs/>
          <w:sz w:val="36"/>
          <w:szCs w:val="36"/>
          <w:lang w:val="en-US" w:eastAsia="zh-CN"/>
        </w:rPr>
        <w:t>中小企业OTC挂牌简介</w:t>
      </w:r>
    </w:p>
    <w:p>
      <w:pPr>
        <w:jc w:val="center"/>
        <w:rPr>
          <w:rFonts w:hint="eastAsia" w:asciiTheme="majorEastAsia" w:hAnsiTheme="majorEastAsia" w:eastAsiaTheme="majorEastAsia" w:cstheme="majorEastAsia"/>
          <w:b/>
          <w:bCs/>
          <w:sz w:val="32"/>
          <w:szCs w:val="32"/>
          <w:lang w:val="en-US" w:eastAsia="zh-CN"/>
        </w:rPr>
      </w:pPr>
    </w:p>
    <w:p>
      <w:pPr>
        <w:numPr>
          <w:ilvl w:val="0"/>
          <w:numId w:val="1"/>
        </w:num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基本条件</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①企业注册满一年及以上；</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②注册资金实缴300万元及以上；</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③主营业务收入500-1000万元（渝北区除外）。</w:t>
      </w:r>
    </w:p>
    <w:p>
      <w:pPr>
        <w:numPr>
          <w:ilvl w:val="0"/>
          <w:numId w:val="1"/>
        </w:numPr>
        <w:ind w:left="0" w:leftChars="0" w:firstLine="0" w:firstLineChars="0"/>
        <w:rPr>
          <w:rFonts w:hint="eastAsia" w:asciiTheme="minorEastAsia" w:hAnsiTheme="minorEastAsia" w:cstheme="minorEastAsia"/>
          <w:sz w:val="28"/>
          <w:szCs w:val="28"/>
          <w:lang w:val="en-US" w:eastAsia="zh-CN"/>
        </w:rPr>
      </w:pPr>
      <w:r>
        <w:rPr>
          <w:rFonts w:hint="eastAsia" w:asciiTheme="minorEastAsia" w:hAnsiTheme="minorEastAsia" w:cstheme="minorEastAsia"/>
          <w:b/>
          <w:bCs/>
          <w:sz w:val="28"/>
          <w:szCs w:val="28"/>
          <w:lang w:val="en-US" w:eastAsia="zh-CN"/>
        </w:rPr>
        <w:t>前期资料:</w:t>
      </w:r>
      <w:r>
        <w:rPr>
          <w:rFonts w:hint="eastAsia" w:asciiTheme="minorEastAsia" w:hAnsiTheme="minorEastAsia" w:cstheme="minorEastAsia"/>
          <w:sz w:val="28"/>
          <w:szCs w:val="28"/>
          <w:lang w:val="en-US" w:eastAsia="zh-CN"/>
        </w:rPr>
        <w:t>营业执照，2018、2019（上半年）年财务报表。</w:t>
      </w:r>
    </w:p>
    <w:p>
      <w:pPr>
        <w:numPr>
          <w:ilvl w:val="0"/>
          <w:numId w:val="1"/>
        </w:numPr>
        <w:ind w:left="0" w:leftChars="0" w:firstLine="0" w:firstLineChars="0"/>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时间：</w:t>
      </w:r>
    </w:p>
    <w:p>
      <w:pPr>
        <w:numPr>
          <w:ilvl w:val="0"/>
          <w:numId w:val="0"/>
        </w:numPr>
        <w:ind w:leftChars="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挂牌周期：3-4个月</w:t>
      </w:r>
    </w:p>
    <w:p>
      <w:pPr>
        <w:numPr>
          <w:ilvl w:val="0"/>
          <w:numId w:val="0"/>
        </w:numPr>
        <w:ind w:leftChars="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补贴申报：2020年6月底截止</w:t>
      </w:r>
    </w:p>
    <w:p>
      <w:pPr>
        <w:numPr>
          <w:ilvl w:val="0"/>
          <w:numId w:val="0"/>
        </w:numPr>
        <w:ind w:leftChars="0"/>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补贴发放：2020年底</w:t>
      </w:r>
    </w:p>
    <w:p>
      <w:pPr>
        <w:numPr>
          <w:ilvl w:val="0"/>
          <w:numId w:val="1"/>
        </w:numPr>
        <w:ind w:left="0" w:leftChars="0" w:firstLine="0" w:firstLineChars="0"/>
        <w:rPr>
          <w:rFonts w:hint="eastAsia" w:asciiTheme="minorEastAsia" w:hAnsi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挂牌的</w:t>
      </w:r>
      <w:r>
        <w:rPr>
          <w:rFonts w:hint="eastAsia" w:asciiTheme="minorEastAsia" w:hAnsiTheme="minorEastAsia" w:cstheme="minorEastAsia"/>
          <w:b/>
          <w:bCs/>
          <w:sz w:val="28"/>
          <w:szCs w:val="28"/>
          <w:lang w:val="en-US" w:eastAsia="zh-CN"/>
        </w:rPr>
        <w:t>优势</w:t>
      </w:r>
    </w:p>
    <w:p>
      <w:pPr>
        <w:numPr>
          <w:ilvl w:val="0"/>
          <w:numId w:val="2"/>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获得政府扶持，增加上市成功概率，或增加被上市公司收并购机会。</w:t>
      </w:r>
    </w:p>
    <w:p>
      <w:pPr>
        <w:numPr>
          <w:ilvl w:val="0"/>
          <w:numId w:val="0"/>
        </w:num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2.提高综合融资能力，提升企业资质等级，可通过定向发行股份以及可转换债券的方式实现股权融资及债权融资。</w:t>
      </w:r>
    </w:p>
    <w:p>
      <w:pPr>
        <w:numPr>
          <w:ilvl w:val="0"/>
          <w:numId w:val="0"/>
        </w:numPr>
        <w:ind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3.展现企业品牌，提升企业形象</w:t>
      </w:r>
      <w:r>
        <w:rPr>
          <w:rFonts w:hint="eastAsia" w:asciiTheme="minorEastAsia" w:hAnsiTheme="minorEastAsia" w:eastAsiaTheme="minorEastAsia" w:cstheme="minorEastAsia"/>
          <w:sz w:val="28"/>
          <w:szCs w:val="28"/>
          <w:lang w:val="en-US" w:eastAsia="zh-CN"/>
        </w:rPr>
        <w:t>。</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规范法人治理</w:t>
      </w:r>
      <w:r>
        <w:rPr>
          <w:rFonts w:hint="eastAsia" w:asciiTheme="minorEastAsia" w:hAnsiTheme="minorEastAsia" w:cstheme="minorEastAsia"/>
          <w:sz w:val="28"/>
          <w:szCs w:val="28"/>
          <w:lang w:val="en-US" w:eastAsia="zh-CN"/>
        </w:rPr>
        <w:t>，为进入更高层次资本市场打基础。</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cstheme="minorEastAsia"/>
          <w:sz w:val="28"/>
          <w:szCs w:val="28"/>
          <w:lang w:val="en-US" w:eastAsia="zh-CN"/>
        </w:rPr>
        <w:t>5.实现股份增值流动，</w:t>
      </w:r>
      <w:r>
        <w:rPr>
          <w:rFonts w:hint="eastAsia" w:asciiTheme="minorEastAsia" w:hAnsiTheme="minorEastAsia" w:eastAsiaTheme="minorEastAsia" w:cstheme="minorEastAsia"/>
          <w:sz w:val="28"/>
          <w:szCs w:val="28"/>
          <w:lang w:val="en-US" w:eastAsia="zh-CN"/>
        </w:rPr>
        <w:t>为</w:t>
      </w:r>
      <w:r>
        <w:rPr>
          <w:rFonts w:hint="eastAsia" w:asciiTheme="minorEastAsia" w:hAnsiTheme="minorEastAsia" w:cstheme="minorEastAsia"/>
          <w:sz w:val="28"/>
          <w:szCs w:val="28"/>
          <w:lang w:val="en-US" w:eastAsia="zh-CN"/>
        </w:rPr>
        <w:t>企业</w:t>
      </w:r>
      <w:r>
        <w:rPr>
          <w:rFonts w:hint="eastAsia" w:asciiTheme="minorEastAsia" w:hAnsiTheme="minorEastAsia" w:eastAsiaTheme="minorEastAsia" w:cstheme="minorEastAsia"/>
          <w:sz w:val="28"/>
          <w:szCs w:val="28"/>
          <w:lang w:val="en-US" w:eastAsia="zh-CN"/>
        </w:rPr>
        <w:t>带来积极的财富效应。</w:t>
      </w:r>
    </w:p>
    <w:p>
      <w:pPr>
        <w:numPr>
          <w:ilvl w:val="0"/>
          <w:numId w:val="0"/>
        </w:num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五、</w:t>
      </w:r>
      <w:r>
        <w:rPr>
          <w:rFonts w:hint="eastAsia" w:asciiTheme="minorEastAsia" w:hAnsiTheme="minorEastAsia" w:eastAsiaTheme="minorEastAsia" w:cstheme="minorEastAsia"/>
          <w:b/>
          <w:bCs/>
          <w:sz w:val="28"/>
          <w:szCs w:val="28"/>
          <w:lang w:val="en-US" w:eastAsia="zh-CN"/>
        </w:rPr>
        <w:t>投资补贴</w:t>
      </w:r>
    </w:p>
    <w:p>
      <w:pPr>
        <w:numPr>
          <w:ilvl w:val="0"/>
          <w:numId w:val="0"/>
        </w:numPr>
        <w:ind w:firstLine="560" w:firstLineChars="2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cstheme="minorEastAsia"/>
          <w:b w:val="0"/>
          <w:bCs w:val="0"/>
          <w:sz w:val="28"/>
          <w:szCs w:val="28"/>
          <w:lang w:val="en-US" w:eastAsia="zh-CN"/>
        </w:rPr>
        <w:t>重庆市内各区县的挂牌补贴政策不同，有的地区在享受市级奖励的基础上，同时还可以享受区县级奖励。</w:t>
      </w:r>
    </w:p>
    <w:p>
      <w:pPr>
        <w:numPr>
          <w:ilvl w:val="0"/>
          <w:numId w:val="0"/>
        </w:numPr>
        <w:jc w:val="center"/>
        <w:rPr>
          <w:rFonts w:hint="eastAsia" w:asciiTheme="minorEastAsia" w:hAnsiTheme="minorEastAsia" w:cstheme="minorEastAsia"/>
          <w:b/>
          <w:bCs/>
          <w:sz w:val="28"/>
          <w:szCs w:val="28"/>
          <w:lang w:val="en-US" w:eastAsia="zh-CN"/>
        </w:rPr>
      </w:pPr>
    </w:p>
    <w:p>
      <w:pPr>
        <w:numPr>
          <w:ilvl w:val="0"/>
          <w:numId w:val="0"/>
        </w:numPr>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重庆市及各区县OTC挂牌政策</w:t>
      </w:r>
    </w:p>
    <w:p>
      <w:pPr>
        <w:numPr>
          <w:ilvl w:val="0"/>
          <w:numId w:val="0"/>
        </w:numPr>
        <w:jc w:val="center"/>
        <w:rPr>
          <w:rFonts w:hint="eastAsia" w:asciiTheme="minorEastAsia" w:hAnsiTheme="minorEastAsia" w:cstheme="minorEastAsia"/>
          <w:b/>
          <w:bCs/>
          <w:sz w:val="28"/>
          <w:szCs w:val="28"/>
          <w:lang w:val="en-US" w:eastAsia="zh-CN"/>
        </w:rPr>
      </w:pPr>
    </w:p>
    <w:p>
      <w:pPr>
        <w:numPr>
          <w:ilvl w:val="0"/>
          <w:numId w:val="0"/>
        </w:numPr>
        <w:jc w:val="left"/>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重庆市级（重庆市中小企业局）</w:t>
      </w:r>
      <w:r>
        <w:rPr>
          <w:rFonts w:hint="eastAsia" w:asciiTheme="minorEastAsia" w:hAnsiTheme="minorEastAsia" w:cstheme="minorEastAsia"/>
          <w:b/>
          <w:bCs/>
          <w:sz w:val="28"/>
          <w:szCs w:val="28"/>
          <w:lang w:val="en-US" w:eastAsia="zh-CN"/>
        </w:rPr>
        <w:tab/>
      </w:r>
      <w:r>
        <w:rPr>
          <w:rFonts w:hint="eastAsia" w:asciiTheme="minorEastAsia" w:hAnsiTheme="minorEastAsia" w:cstheme="minorEastAsia"/>
          <w:b/>
          <w:bCs/>
          <w:sz w:val="28"/>
          <w:szCs w:val="28"/>
          <w:lang w:val="en-US" w:eastAsia="zh-CN"/>
        </w:rPr>
        <w:t>45万元</w:t>
      </w:r>
    </w:p>
    <w:p>
      <w:pPr>
        <w:numPr>
          <w:ilvl w:val="0"/>
          <w:numId w:val="0"/>
        </w:numPr>
        <w:jc w:val="left"/>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各区县：</w:t>
      </w:r>
    </w:p>
    <w:tbl>
      <w:tblPr>
        <w:tblStyle w:val="3"/>
        <w:tblW w:w="9200" w:type="dxa"/>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088"/>
        <w:gridCol w:w="5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82" w:type="dxa"/>
          </w:tcPr>
          <w:p>
            <w:pPr>
              <w:numPr>
                <w:ilvl w:val="0"/>
                <w:numId w:val="0"/>
              </w:numPr>
              <w:jc w:val="both"/>
              <w:rPr>
                <w:rFonts w:hint="eastAsia" w:asciiTheme="minorEastAsia" w:hAnsiTheme="minorEastAsia" w:eastAsiaTheme="minorEastAsia" w:cstheme="minorEastAsia"/>
                <w:b/>
                <w:bCs/>
                <w:sz w:val="24"/>
                <w:szCs w:val="24"/>
                <w:vertAlign w:val="baseline"/>
                <w:lang w:val="en-US" w:eastAsia="zh-CN"/>
              </w:rPr>
            </w:pPr>
          </w:p>
          <w:p>
            <w:pPr>
              <w:numPr>
                <w:ilvl w:val="0"/>
                <w:numId w:val="0"/>
              </w:numPr>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序号</w:t>
            </w:r>
          </w:p>
        </w:tc>
        <w:tc>
          <w:tcPr>
            <w:tcW w:w="3088" w:type="dxa"/>
          </w:tcPr>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p>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政策层级</w:t>
            </w:r>
          </w:p>
        </w:tc>
        <w:tc>
          <w:tcPr>
            <w:tcW w:w="5330" w:type="dxa"/>
          </w:tcPr>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p>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补贴政策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渝北区</w:t>
            </w:r>
          </w:p>
        </w:tc>
        <w:tc>
          <w:tcPr>
            <w:tcW w:w="5330" w:type="dxa"/>
          </w:tcPr>
          <w:p>
            <w:pPr>
              <w:numPr>
                <w:ilvl w:val="0"/>
                <w:numId w:val="0"/>
              </w:num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12</w:t>
            </w:r>
            <w:bookmarkStart w:id="0" w:name="_GoBack"/>
            <w:bookmarkEnd w:id="0"/>
            <w:r>
              <w:rPr>
                <w:rFonts w:hint="eastAsia" w:asciiTheme="minorEastAsia" w:hAnsiTheme="minorEastAsia" w:cstheme="minorEastAsia"/>
                <w:b w:val="0"/>
                <w:bCs w:val="0"/>
                <w:sz w:val="24"/>
                <w:szCs w:val="24"/>
                <w:vertAlign w:val="baseline"/>
                <w:lang w:val="en-US" w:eastAsia="zh-CN"/>
              </w:rPr>
              <w:t>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梁平区</w:t>
            </w:r>
          </w:p>
        </w:tc>
        <w:tc>
          <w:tcPr>
            <w:tcW w:w="5330"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渝中区</w:t>
            </w:r>
          </w:p>
        </w:tc>
        <w:tc>
          <w:tcPr>
            <w:tcW w:w="5330"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4</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云阳县</w:t>
            </w:r>
          </w:p>
        </w:tc>
        <w:tc>
          <w:tcPr>
            <w:tcW w:w="5330"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5</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荣昌区</w:t>
            </w:r>
          </w:p>
        </w:tc>
        <w:tc>
          <w:tcPr>
            <w:tcW w:w="5330"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45万元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6</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巫溪县</w:t>
            </w:r>
          </w:p>
        </w:tc>
        <w:tc>
          <w:tcPr>
            <w:tcW w:w="5330"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sz w:val="24"/>
              </w:rPr>
              <w:t>挂牌费用的</w:t>
            </w:r>
            <w:r>
              <w:rPr>
                <w:spacing w:val="2"/>
                <w:sz w:val="24"/>
              </w:rPr>
              <w:t>50</w:t>
            </w:r>
            <w:r>
              <w:rPr>
                <w:spacing w:val="-119"/>
                <w:sz w:val="24"/>
              </w:rPr>
              <w:t xml:space="preserve"> </w:t>
            </w:r>
            <w:r>
              <w:rPr>
                <w:spacing w:val="5"/>
                <w:sz w:val="24"/>
              </w:rPr>
              <w:drawing>
                <wp:inline distT="0" distB="0" distL="0" distR="0">
                  <wp:extent cx="69850" cy="107950"/>
                  <wp:effectExtent l="0" t="0" r="6350" b="635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4" cstate="print"/>
                          <a:stretch>
                            <a:fillRect/>
                          </a:stretch>
                        </pic:blipFill>
                        <pic:spPr>
                          <a:xfrm>
                            <a:off x="0" y="0"/>
                            <a:ext cx="69850" cy="107950"/>
                          </a:xfrm>
                          <a:prstGeom prst="rect">
                            <a:avLst/>
                          </a:prstGeom>
                        </pic:spPr>
                      </pic:pic>
                    </a:graphicData>
                  </a:graphic>
                </wp:inline>
              </w:drawing>
            </w:r>
            <w:r>
              <w:rPr>
                <w:sz w:val="24"/>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7</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万州区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8</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巴南区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9</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合川区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10</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綦江区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11</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黔江区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12</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丰都县</w:t>
            </w:r>
          </w:p>
        </w:tc>
        <w:tc>
          <w:tcPr>
            <w:tcW w:w="5330"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13</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江津区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14</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武隆区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15</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长寿区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16</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垫江县</w:t>
            </w:r>
          </w:p>
        </w:tc>
        <w:tc>
          <w:tcPr>
            <w:tcW w:w="5330"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17</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万盛经开区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18</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秀山县</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19</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涪陵区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永川区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21</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潼南区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22</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酉阳县</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23</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大渡口区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24</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北碚区</w:t>
            </w:r>
          </w:p>
        </w:tc>
        <w:tc>
          <w:tcPr>
            <w:tcW w:w="5330"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82" w:type="dxa"/>
          </w:tcPr>
          <w:p>
            <w:pPr>
              <w:numPr>
                <w:ilvl w:val="0"/>
                <w:numId w:val="0"/>
              </w:num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25</w:t>
            </w:r>
          </w:p>
        </w:tc>
        <w:tc>
          <w:tcPr>
            <w:tcW w:w="3088" w:type="dxa"/>
          </w:tcPr>
          <w:p>
            <w:pPr>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铜梁区</w:t>
            </w:r>
          </w:p>
        </w:tc>
        <w:tc>
          <w:tcPr>
            <w:tcW w:w="5330" w:type="dxa"/>
          </w:tcPr>
          <w:p>
            <w:pPr>
              <w:numPr>
                <w:ilvl w:val="0"/>
                <w:numId w:val="0"/>
              </w:num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25万元</w:t>
            </w:r>
          </w:p>
        </w:tc>
      </w:tr>
    </w:tbl>
    <w:p>
      <w:pPr>
        <w:numPr>
          <w:ilvl w:val="0"/>
          <w:numId w:val="0"/>
        </w:numPr>
        <w:rPr>
          <w:rFonts w:hint="eastAsia" w:asciiTheme="minorEastAsia" w:hAnsiTheme="minorEastAsia" w:eastAsiaTheme="minorEastAsia" w:cstheme="minorEastAsia"/>
          <w:b/>
          <w:bCs/>
          <w:sz w:val="28"/>
          <w:szCs w:val="28"/>
          <w:lang w:val="en-US" w:eastAsia="zh-CN"/>
        </w:rPr>
      </w:pPr>
    </w:p>
    <w:p>
      <w:pPr>
        <w:numPr>
          <w:ilvl w:val="0"/>
          <w:numId w:val="0"/>
        </w:numPr>
        <w:ind w:left="210" w:leftChars="0"/>
        <w:rPr>
          <w:rFonts w:hint="eastAsia" w:asciiTheme="minorEastAsia" w:hAnsiTheme="minorEastAsia" w:eastAsiaTheme="minorEastAsia" w:cs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AEF72"/>
    <w:multiLevelType w:val="singleLevel"/>
    <w:tmpl w:val="95CAEF72"/>
    <w:lvl w:ilvl="0" w:tentative="0">
      <w:start w:val="1"/>
      <w:numFmt w:val="chineseCounting"/>
      <w:suff w:val="nothing"/>
      <w:lvlText w:val="%1、"/>
      <w:lvlJc w:val="left"/>
      <w:rPr>
        <w:rFonts w:hint="eastAsia"/>
      </w:rPr>
    </w:lvl>
  </w:abstractNum>
  <w:abstractNum w:abstractNumId="1">
    <w:nsid w:val="23B100B0"/>
    <w:multiLevelType w:val="singleLevel"/>
    <w:tmpl w:val="23B100B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37DCC"/>
    <w:rsid w:val="07F63FB9"/>
    <w:rsid w:val="0BEB48DA"/>
    <w:rsid w:val="1A5A0E0B"/>
    <w:rsid w:val="1F816C9C"/>
    <w:rsid w:val="26F85E07"/>
    <w:rsid w:val="28E65BC7"/>
    <w:rsid w:val="30594DBE"/>
    <w:rsid w:val="38745E7A"/>
    <w:rsid w:val="3FFA7A3A"/>
    <w:rsid w:val="42FE47A9"/>
    <w:rsid w:val="430E4450"/>
    <w:rsid w:val="47176E5C"/>
    <w:rsid w:val="4C1B5584"/>
    <w:rsid w:val="4DB6338E"/>
    <w:rsid w:val="563429F3"/>
    <w:rsid w:val="5CEB75C6"/>
    <w:rsid w:val="5D3A323B"/>
    <w:rsid w:val="5E9070C5"/>
    <w:rsid w:val="656B0557"/>
    <w:rsid w:val="68B37FED"/>
    <w:rsid w:val="72DD6EF5"/>
    <w:rsid w:val="79E63556"/>
    <w:rsid w:val="7B2E4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派大星</cp:lastModifiedBy>
  <dcterms:modified xsi:type="dcterms:W3CDTF">2019-10-23T03:55:02Z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